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ПРОТОКОЛ АУКЦИОНА №3 </w:t>
      </w:r>
    </w:p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(согласно извещению от 21.04.2017)</w:t>
      </w:r>
    </w:p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AA6875" w:rsidRPr="003A2565" w:rsidRDefault="00AA6875" w:rsidP="00AA687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3A2565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3A256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3A256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Pr="003A256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02» июня 2017г.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аукциона:</w:t>
      </w:r>
    </w:p>
    <w:p w:rsidR="00AA6875" w:rsidRPr="00A0460C" w:rsidRDefault="00AA6875" w:rsidP="00AA687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0460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 с 15.06.2017 по 30.09.2017.</w:t>
      </w:r>
    </w:p>
    <w:p w:rsidR="008A0A84" w:rsidRPr="00B071C6" w:rsidRDefault="008A0A84" w:rsidP="00C0017A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046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Лот №</w:t>
      </w:r>
      <w:r w:rsidR="00C0017A" w:rsidRPr="00A046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24:</w:t>
      </w:r>
      <w:r w:rsidRPr="00A0460C">
        <w:rPr>
          <w:rFonts w:ascii="Times New Roman" w:hAnsi="Times New Roman" w:cs="Times New Roman"/>
          <w:sz w:val="28"/>
          <w:szCs w:val="28"/>
          <w:lang w:eastAsia="zh-CN"/>
        </w:rPr>
        <w:t xml:space="preserve"> г. Владикавказ, ул. 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Куйбышева, 21, тип НТО – холодильник, специализация –реализация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 Период размещения - с 15.06.2017 по 30.09.2017.</w:t>
      </w:r>
      <w:r w:rsidR="00C0017A"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Начальная цена Лота составляет 6275руб. за указанный период. </w:t>
      </w:r>
    </w:p>
    <w:p w:rsidR="003A2565" w:rsidRPr="00B071C6" w:rsidRDefault="003A2565" w:rsidP="003A2565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B071C6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zh-CN"/>
        </w:rPr>
        <w:t>Лот №33</w:t>
      </w:r>
      <w:r w:rsidRPr="00B071C6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zh-CN"/>
        </w:rPr>
        <w:t>: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г. Владикавказ, пл. Свободы,5,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 Период размещения - с 15.06.2017 по 30.09.2017.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Начальная цена Лота составляет 3137 руб. за указанный период.</w:t>
      </w:r>
    </w:p>
    <w:p w:rsidR="00C0017A" w:rsidRPr="00B071C6" w:rsidRDefault="00C0017A" w:rsidP="00C0017A">
      <w:pPr>
        <w:spacing w:before="120" w:after="12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B071C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Лот №40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: г. Владикавказ, пр. Мира, 27,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Период размещения - с 15.06.2017 по 30.09.2017.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Начальная цена Лота составляет 6275 руб. за указанный период.</w:t>
      </w:r>
    </w:p>
    <w:p w:rsidR="00C0017A" w:rsidRPr="00B071C6" w:rsidRDefault="00C0017A" w:rsidP="00C0017A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Лот №48</w:t>
      </w: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г. Владикавказ,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пр.Мира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/ул. Куйбышева,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Период размещения - с 15.06.2017 по 30.09.2017.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Начальная цена Лота составляет 6275руб. за указанный период. </w:t>
      </w: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AA6875" w:rsidRPr="00B071C6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</w:p>
    <w:p w:rsidR="00AA6875" w:rsidRPr="00B071C6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Время начала аукциона: 11 часов 00 мин.</w:t>
      </w:r>
    </w:p>
    <w:p w:rsidR="00AA6875" w:rsidRPr="00B071C6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Время окончания аукциона: 12 часов 55 мин.</w:t>
      </w:r>
    </w:p>
    <w:p w:rsidR="00AA6875" w:rsidRPr="00B071C6" w:rsidRDefault="00AA6875" w:rsidP="00AA687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проведения открытого аукциона: РСО-Алания, г. Владикавказ, пл. Штыба, 2, здание Администрации местного самоуправления                                    г. Владикавказа, 3 этаж, 308 кабинет.</w:t>
      </w:r>
    </w:p>
    <w:p w:rsidR="00AA6875" w:rsidRPr="00B071C6" w:rsidRDefault="00AA6875" w:rsidP="00AA687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Извещение о проведении настоящего аукциона было опубликовано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газете «Владикавказ»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43 от 21.04.2017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lastRenderedPageBreak/>
        <w:t xml:space="preserve">размещено на официальном сайте АМС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val="en-US" w:eastAsia="ru-RU"/>
        </w:rPr>
        <w:t>www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.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val="en-US" w:eastAsia="ru-RU"/>
        </w:rPr>
        <w:t>vladikavkaz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 w:eastAsia="ru-RU"/>
        </w:rPr>
        <w:t>osetia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.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 w:eastAsia="ru-RU"/>
        </w:rPr>
        <w:t>ru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На процедуре аукциона присутствовали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Члены комиссии: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Шаталов Михаил Михайлович</w:t>
      </w:r>
    </w:p>
    <w:p w:rsidR="00AA6875" w:rsidRPr="00A0460C" w:rsidRDefault="00AA6875" w:rsidP="00AA68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AA6875" w:rsidRPr="00A0460C" w:rsidRDefault="00AA6875" w:rsidP="00AA68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Етдзаева Лаура Руслановна</w:t>
      </w:r>
    </w:p>
    <w:p w:rsidR="00AA6875" w:rsidRPr="00B071C6" w:rsidRDefault="00AA6875" w:rsidP="00AA68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AA6875" w:rsidRPr="00B071C6" w:rsidRDefault="00AA6875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B071C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      </w:t>
      </w: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</w:t>
      </w:r>
      <w:r w:rsidR="008A0A84"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24: 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г. Владикавказ, ул. Куйбышева, 21, тип НТО – холодильник, специализация –реализация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 Период размещения - с 15.06.2017 по 30.09.2017.</w:t>
      </w:r>
      <w:r w:rsidR="008A0A84"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Начальная цена Лота составляет 6275руб.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B071C6" w:rsidTr="001B2180">
        <w:trPr>
          <w:trHeight w:val="841"/>
        </w:trPr>
        <w:tc>
          <w:tcPr>
            <w:tcW w:w="948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B071C6" w:rsidTr="001B2180">
        <w:tc>
          <w:tcPr>
            <w:tcW w:w="948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Городова</w:t>
            </w:r>
            <w:proofErr w:type="spellEnd"/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 А.Г.</w:t>
            </w:r>
          </w:p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B071C6" w:rsidTr="001B2180">
        <w:trPr>
          <w:trHeight w:val="674"/>
        </w:trPr>
        <w:tc>
          <w:tcPr>
            <w:tcW w:w="948" w:type="dxa"/>
          </w:tcPr>
          <w:p w:rsidR="00AA6875" w:rsidRPr="00B071C6" w:rsidRDefault="00AA6875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AA6875" w:rsidRPr="00B071C6" w:rsidRDefault="00AA6875" w:rsidP="00AA68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B071C6">
              <w:rPr>
                <w:color w:val="000000" w:themeColor="text1"/>
                <w:sz w:val="28"/>
                <w:szCs w:val="28"/>
              </w:rPr>
              <w:t xml:space="preserve">ИП  </w:t>
            </w:r>
            <w:proofErr w:type="spellStart"/>
            <w:r w:rsidRPr="00B071C6">
              <w:rPr>
                <w:color w:val="000000" w:themeColor="text1"/>
                <w:sz w:val="28"/>
                <w:szCs w:val="28"/>
              </w:rPr>
              <w:t>Рубаева</w:t>
            </w:r>
            <w:proofErr w:type="spellEnd"/>
            <w:proofErr w:type="gramEnd"/>
            <w:r w:rsidRPr="00B071C6">
              <w:rPr>
                <w:color w:val="000000" w:themeColor="text1"/>
                <w:sz w:val="28"/>
                <w:szCs w:val="28"/>
              </w:rPr>
              <w:t xml:space="preserve"> А.Ф.</w:t>
            </w: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AA6875" w:rsidRPr="00B071C6" w:rsidRDefault="00AA6875" w:rsidP="00AA68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A6875" w:rsidRPr="00B071C6" w:rsidRDefault="00AA6875" w:rsidP="00AA68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8A0A84" w:rsidRPr="00B071C6" w:rsidRDefault="00AA6875" w:rsidP="008A0A8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№24 -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ИП </w:t>
      </w:r>
      <w:proofErr w:type="spellStart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Городову</w:t>
      </w:r>
      <w:proofErr w:type="spellEnd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А.Г.,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–43775 руб</w:t>
      </w:r>
      <w:r w:rsidR="008A0A84"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A0A84" w:rsidRPr="00B071C6" w:rsidRDefault="008A0A84" w:rsidP="008A0A8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предпоследнее предложение о цене договора поступило от</w:t>
      </w:r>
      <w:r w:rsidRPr="00B071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ИП 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Рубаевой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А.Ф., и составило – 43275руб.</w:t>
      </w:r>
    </w:p>
    <w:p w:rsidR="00D45F2C" w:rsidRPr="00B071C6" w:rsidRDefault="00D45F2C" w:rsidP="00B071C6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B071C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B071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B071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Лот №33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: г. Владикавказ, пл. Свободы,5,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 Период размещения - с 15.06.2017 по 30.09.2017.</w:t>
      </w:r>
      <w:r w:rsid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Начальная цена Лота составляет 3137 руб. за указанный период.</w:t>
      </w:r>
    </w:p>
    <w:p w:rsidR="00D45F2C" w:rsidRPr="00B071C6" w:rsidRDefault="00D45F2C" w:rsidP="00D45F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Аукционная комиссия приняла решение:</w:t>
      </w:r>
    </w:p>
    <w:p w:rsidR="00D45F2C" w:rsidRPr="00B071C6" w:rsidRDefault="00D45F2C" w:rsidP="00D45F2C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3A2565"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="003A2565"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proofErr w:type="spellStart"/>
      <w:r w:rsidR="003A2565"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Городову</w:t>
      </w:r>
      <w:proofErr w:type="spellEnd"/>
      <w:r w:rsidR="003A2565"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А.Г.,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</w:t>
      </w:r>
      <w:r w:rsidR="003A2565"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3137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руб., т.к. других участников на участие в аукционе зарегистрировано не было.</w:t>
      </w:r>
    </w:p>
    <w:p w:rsidR="00AA6875" w:rsidRPr="00B071C6" w:rsidRDefault="008A0A84" w:rsidP="00D45F2C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№40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: г. Владикавказ, пр. Мира, 27,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Период размещения - с 15.06.2017 по 30.09.2017.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Начальная цена Лота составляет 6275 руб. за указанный период.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B071C6" w:rsidTr="001B2180">
        <w:trPr>
          <w:trHeight w:val="841"/>
        </w:trPr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B071C6" w:rsidTr="001B2180"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Городова</w:t>
            </w:r>
            <w:proofErr w:type="spellEnd"/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 А.Г.</w:t>
            </w:r>
          </w:p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B071C6" w:rsidTr="001B2180">
        <w:trPr>
          <w:trHeight w:val="674"/>
        </w:trPr>
        <w:tc>
          <w:tcPr>
            <w:tcW w:w="948" w:type="dxa"/>
          </w:tcPr>
          <w:p w:rsidR="008A0A84" w:rsidRPr="00B071C6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 xml:space="preserve">ООО «Аква </w:t>
            </w:r>
            <w:proofErr w:type="gramStart"/>
            <w:r w:rsidRPr="00B071C6">
              <w:rPr>
                <w:color w:val="000000" w:themeColor="text1"/>
                <w:sz w:val="28"/>
                <w:szCs w:val="28"/>
              </w:rPr>
              <w:t>Мастер»-</w:t>
            </w:r>
            <w:proofErr w:type="gramEnd"/>
            <w:r w:rsidRPr="00B071C6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071C6">
              <w:rPr>
                <w:color w:val="000000" w:themeColor="text1"/>
                <w:sz w:val="28"/>
                <w:szCs w:val="28"/>
              </w:rPr>
              <w:t>Джиоева</w:t>
            </w:r>
            <w:proofErr w:type="spellEnd"/>
            <w:r w:rsidRPr="00B071C6">
              <w:rPr>
                <w:color w:val="000000" w:themeColor="text1"/>
                <w:sz w:val="28"/>
                <w:szCs w:val="28"/>
              </w:rPr>
              <w:t xml:space="preserve"> Марина Павловна</w:t>
            </w: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8A0A84" w:rsidRPr="00B071C6" w:rsidRDefault="008A0A84" w:rsidP="008A0A8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№24 -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ИП </w:t>
      </w:r>
      <w:proofErr w:type="spellStart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Городову</w:t>
      </w:r>
      <w:proofErr w:type="spellEnd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А.Г.,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–65275 руб.</w:t>
      </w:r>
    </w:p>
    <w:p w:rsidR="008A0A84" w:rsidRPr="00B071C6" w:rsidRDefault="008A0A84" w:rsidP="008A0A8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предпоследнее предложение о цене договора поступило от</w:t>
      </w:r>
      <w:r w:rsidRPr="00B071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«Аква Мастер» и составило – 64775руб.</w:t>
      </w:r>
    </w:p>
    <w:p w:rsidR="008A0A84" w:rsidRPr="00B071C6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№48: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г. Владикавказ,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пр.Мира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/ул. Куйбышева, тип НТО – холодильник, специализация –реализация питьевой и газированной воды, мороженного, площадью 4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кв.м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Период размещения - с 15.06.2017 по 30.09.2017.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Начальная цена Лота составляет 6275руб. за указанный период. </w:t>
      </w: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8A0A84" w:rsidRPr="00B071C6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B071C6" w:rsidTr="001B2180">
        <w:trPr>
          <w:trHeight w:val="841"/>
        </w:trPr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B071C6" w:rsidTr="001B2180"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Г</w:t>
            </w:r>
            <w:r w:rsidR="00EC68D8" w:rsidRPr="00B071C6">
              <w:rPr>
                <w:color w:val="000000" w:themeColor="text1"/>
                <w:spacing w:val="-3"/>
                <w:sz w:val="28"/>
                <w:szCs w:val="28"/>
              </w:rPr>
              <w:t>утиева</w:t>
            </w:r>
            <w:proofErr w:type="spellEnd"/>
            <w:r w:rsidR="00EC68D8"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 И.Б.</w:t>
            </w:r>
          </w:p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B071C6" w:rsidTr="001B2180">
        <w:trPr>
          <w:trHeight w:val="674"/>
        </w:trPr>
        <w:tc>
          <w:tcPr>
            <w:tcW w:w="948" w:type="dxa"/>
          </w:tcPr>
          <w:p w:rsidR="008A0A84" w:rsidRPr="00B071C6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6844" w:type="dxa"/>
          </w:tcPr>
          <w:p w:rsidR="008A0A84" w:rsidRPr="00B071C6" w:rsidRDefault="00EC68D8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B071C6">
              <w:rPr>
                <w:color w:val="000000" w:themeColor="text1"/>
                <w:sz w:val="28"/>
                <w:szCs w:val="28"/>
              </w:rPr>
              <w:t>Гутнов</w:t>
            </w:r>
            <w:proofErr w:type="spellEnd"/>
            <w:r w:rsidRPr="00B071C6">
              <w:rPr>
                <w:color w:val="000000" w:themeColor="text1"/>
                <w:sz w:val="28"/>
                <w:szCs w:val="28"/>
              </w:rPr>
              <w:t xml:space="preserve"> М.В.</w:t>
            </w: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EC68D8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EC68D8" w:rsidRPr="00B071C6" w:rsidRDefault="00EC68D8" w:rsidP="00EC68D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№48 -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 w:rsidRPr="00B071C6">
        <w:rPr>
          <w:rFonts w:ascii="Times New Roman" w:hAnsi="Times New Roman" w:cs="Times New Roman"/>
          <w:color w:val="000000" w:themeColor="text1"/>
          <w:sz w:val="28"/>
          <w:szCs w:val="28"/>
        </w:rPr>
        <w:t>Гутнов</w:t>
      </w:r>
      <w:r w:rsidR="003A2565" w:rsidRPr="00B071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Pr="00B07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М.В.,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–6275 руб., т.к. участник под регистрационным №1-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proofErr w:type="spellStart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Гутиева</w:t>
      </w:r>
      <w:proofErr w:type="spellEnd"/>
      <w:r w:rsidRPr="00B071C6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И.Б. </w:t>
      </w:r>
      <w:r w:rsidRPr="00B071C6">
        <w:rPr>
          <w:rFonts w:ascii="Times New Roman" w:hAnsi="Times New Roman" w:cs="Times New Roman"/>
          <w:color w:val="000000" w:themeColor="text1"/>
          <w:sz w:val="28"/>
          <w:szCs w:val="28"/>
        </w:rPr>
        <w:t>отказался от участия в аукционе.</w:t>
      </w:r>
    </w:p>
    <w:p w:rsidR="008A0A84" w:rsidRPr="00B071C6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1160" w:type="dxa"/>
        <w:tblInd w:w="108" w:type="dxa"/>
        <w:tblLook w:val="01E0" w:firstRow="1" w:lastRow="1" w:firstColumn="1" w:lastColumn="1" w:noHBand="0" w:noVBand="0"/>
      </w:tblPr>
      <w:tblGrid>
        <w:gridCol w:w="4726"/>
        <w:gridCol w:w="6434"/>
      </w:tblGrid>
      <w:tr w:rsidR="00B071C6" w:rsidRPr="00B071C6" w:rsidTr="001B2180">
        <w:trPr>
          <w:cantSplit/>
          <w:trHeight w:val="687"/>
        </w:trPr>
        <w:tc>
          <w:tcPr>
            <w:tcW w:w="4726" w:type="dxa"/>
            <w:shd w:val="clear" w:color="auto" w:fill="auto"/>
          </w:tcPr>
          <w:p w:rsidR="00AA6875" w:rsidRPr="00B071C6" w:rsidRDefault="00AA6875" w:rsidP="00AA68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Подписи членов аукционной комиссии:</w:t>
            </w:r>
          </w:p>
          <w:p w:rsidR="00AA6875" w:rsidRPr="00B071C6" w:rsidRDefault="00AA6875" w:rsidP="00AA68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  <w:shd w:val="clear" w:color="auto" w:fill="auto"/>
          </w:tcPr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______________________________Шаталов М.М.</w:t>
            </w: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______________________________Березов А.В.</w:t>
            </w: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______________________________Абаев Т.А.</w:t>
            </w: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______________________________Етдзаева Л.Р.</w:t>
            </w: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7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  <w:p w:rsidR="00AA6875" w:rsidRPr="00B071C6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0" w:right="-288" w:hanging="85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B071C6" w:rsidRDefault="00AA6875" w:rsidP="00AA6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AA6875" w:rsidRPr="00A0460C" w:rsidRDefault="00AA6875" w:rsidP="00AA6875">
      <w:pPr>
        <w:rPr>
          <w:rFonts w:ascii="Times New Roman" w:hAnsi="Times New Roman" w:cs="Times New Roman"/>
          <w:sz w:val="28"/>
          <w:szCs w:val="28"/>
        </w:rPr>
      </w:pPr>
    </w:p>
    <w:p w:rsidR="006455A8" w:rsidRPr="00A0460C" w:rsidRDefault="006455A8">
      <w:pPr>
        <w:rPr>
          <w:rFonts w:ascii="Times New Roman" w:hAnsi="Times New Roman" w:cs="Times New Roman"/>
          <w:sz w:val="28"/>
          <w:szCs w:val="28"/>
        </w:rPr>
      </w:pPr>
    </w:p>
    <w:sectPr w:rsidR="006455A8" w:rsidRPr="00A0460C" w:rsidSect="00BF4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AB"/>
    <w:rsid w:val="000555FB"/>
    <w:rsid w:val="003A2565"/>
    <w:rsid w:val="006455A8"/>
    <w:rsid w:val="00687AF0"/>
    <w:rsid w:val="008A0A84"/>
    <w:rsid w:val="00A0460C"/>
    <w:rsid w:val="00AA6875"/>
    <w:rsid w:val="00B071C6"/>
    <w:rsid w:val="00B830E6"/>
    <w:rsid w:val="00C0017A"/>
    <w:rsid w:val="00C623C5"/>
    <w:rsid w:val="00C843AB"/>
    <w:rsid w:val="00D45F2C"/>
    <w:rsid w:val="00EC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84899-CC79-4A0E-B0F9-96A07489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AA687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A6875"/>
  </w:style>
  <w:style w:type="paragraph" w:styleId="a6">
    <w:name w:val="Balloon Text"/>
    <w:basedOn w:val="a"/>
    <w:link w:val="a7"/>
    <w:uiPriority w:val="99"/>
    <w:semiHidden/>
    <w:unhideWhenUsed/>
    <w:rsid w:val="00A0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4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5</cp:revision>
  <cp:lastPrinted>2017-06-07T12:49:00Z</cp:lastPrinted>
  <dcterms:created xsi:type="dcterms:W3CDTF">2017-06-05T13:51:00Z</dcterms:created>
  <dcterms:modified xsi:type="dcterms:W3CDTF">2017-06-07T14:45:00Z</dcterms:modified>
</cp:coreProperties>
</file>